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1" w:firstLineChars="6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  <w:t>WT-PVT-2 理想气体状态方程实验仪</w:t>
      </w: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  <w:lang w:val="en-US" w:eastAsia="zh-CN"/>
        </w:rPr>
        <w:t>概述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理想气体状态方程揭示了气体在处于平衡态时，压强、体积、物质的量和温度间的状态关系。它是热力学理论的基础。学习理想气体状态方程理论对热力学的后续学习具有重要作用。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温度是热学中非常重要的一个物理量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,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可以说任何热 力学量都与温度有关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.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描述物体冷热程度的物理量一开 尔文温度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ab/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</w:rPr>
        <w:t>般都是大于零的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18"/>
          <w:szCs w:val="18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</w:rPr>
        <w:t>研究负温对热学实验有着很大意义。</w:t>
      </w:r>
    </w:p>
    <w:p>
      <w:pPr>
        <w:spacing w:line="252" w:lineRule="auto"/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drawing>
          <wp:inline distT="0" distB="0" distL="114300" distR="114300">
            <wp:extent cx="6128385" cy="4073525"/>
            <wp:effectExtent l="0" t="0" r="13335" b="10795"/>
            <wp:docPr id="1" name="图片 1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  <w:t>适用专业：大学物理、近代物理、应用物理、工程热力学、</w:t>
      </w:r>
    </w:p>
    <w:p>
      <w:pPr>
        <w:rPr>
          <w:rFonts w:hint="eastAsia" w:ascii="黑体" w:hAnsi="黑体" w:eastAsia="黑体" w:cs="方正仿宋_GB2312"/>
          <w:b/>
          <w:bCs/>
          <w:color w:val="00B0F0"/>
        </w:rPr>
      </w:pPr>
    </w:p>
    <w:p>
      <w:pPr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实验内容</w:t>
      </w:r>
    </w:p>
    <w:p>
      <w:pPr>
        <w:spacing w:line="252" w:lineRule="auto"/>
        <w:rPr>
          <w:rFonts w:ascii="方正兰亭准黑_GBK" w:hAnsi="方正兰亭准黑_GBK" w:eastAsia="方正兰亭准黑_GBK" w:cs="方正兰亭准黑_GBK"/>
          <w:b/>
          <w:sz w:val="18"/>
          <w:szCs w:val="18"/>
        </w:rPr>
      </w:pP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1、研究等温条件下，一定质量气体的压强与体积的关系，验证波义耳-马略特定律；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2、研究等容条件下，一定质量气体的温度与压强的关系，验证查理定律；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3、研究等压条件下，一定质量气体的温度与体积的关系，验证盖•吕萨克定律；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4、计算一定气体的物质的量；</w:t>
      </w:r>
    </w:p>
    <w:p>
      <w:pPr>
        <w:spacing w:line="252" w:lineRule="auto"/>
        <w:rPr>
          <w:rFonts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5、计算普适气体常量。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</w:pP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</w:pPr>
    </w:p>
    <w:p>
      <w:pPr>
        <w:spacing w:line="252" w:lineRule="auto"/>
        <w:rPr>
          <w:rFonts w:ascii="方正兰亭准黑_GBK" w:hAnsi="方正兰亭准黑_GBK" w:eastAsia="方正兰亭准黑_GBK" w:cs="方正兰亭准黑_GBK"/>
          <w:b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  <w:t>实验方法：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控制变量法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</w:pPr>
    </w:p>
    <w:p>
      <w:pPr>
        <w:spacing w:line="252" w:lineRule="auto"/>
        <w:rPr>
          <w:rFonts w:ascii="方正兰亭准黑_GBK" w:hAnsi="方正兰亭准黑_GBK" w:eastAsia="方正兰亭准黑_GBK" w:cs="方正兰亭准黑_GBK"/>
          <w:b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b/>
          <w:sz w:val="18"/>
          <w:szCs w:val="18"/>
        </w:rPr>
        <w:t>仪器特点：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1、可在同一套实验装置上，采用控制变量法进行实验，并解决了以前该类实验装置无法完整验证三个定律的缺陷；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2、</w:t>
      </w:r>
      <w:r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</w:rPr>
        <w:t>采用半导体加热/制冷</w:t>
      </w: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：解决了以往采用水循环加热方式中温度变化范围窄、变温缓慢的问题；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3、采用模块化结构——实验中各模块功能清晰；有压力、温度保护装置，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4.有高温防护罩。</w:t>
      </w:r>
    </w:p>
    <w:p>
      <w:pPr>
        <w:spacing w:line="252" w:lineRule="auto"/>
        <w:rPr>
          <w:rFonts w:ascii="方正兰亭准黑_GBK" w:hAnsi="方正兰亭准黑_GBK" w:eastAsia="方正兰亭准黑_GBK" w:cs="方正兰亭准黑_GBK"/>
          <w:b/>
          <w:bCs/>
          <w:color w:val="0000FF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b/>
          <w:bCs/>
          <w:color w:val="0000FF"/>
          <w:sz w:val="18"/>
          <w:szCs w:val="18"/>
        </w:rPr>
        <w:t>5.可完成-10</w:t>
      </w:r>
      <w:r>
        <w:rPr>
          <w:rFonts w:hint="eastAsia" w:ascii="宋体" w:hAnsi="宋体" w:cs="宋体"/>
          <w:b/>
          <w:bCs/>
          <w:color w:val="0000FF"/>
          <w:sz w:val="18"/>
          <w:szCs w:val="18"/>
        </w:rPr>
        <w:t>℃</w:t>
      </w:r>
      <w:r>
        <w:rPr>
          <w:rFonts w:hint="eastAsia" w:ascii="方正兰亭准黑_GBK" w:hAnsi="方正兰亭准黑_GBK" w:eastAsia="方正兰亭准黑_GBK" w:cs="方正兰亭准黑_GBK"/>
          <w:b/>
          <w:bCs/>
          <w:color w:val="0000FF"/>
          <w:sz w:val="18"/>
          <w:szCs w:val="18"/>
        </w:rPr>
        <w:t>(零下10</w:t>
      </w:r>
      <w:r>
        <w:rPr>
          <w:rFonts w:hint="eastAsia" w:ascii="宋体" w:hAnsi="宋体" w:cs="宋体"/>
          <w:b/>
          <w:bCs/>
          <w:color w:val="0000FF"/>
          <w:sz w:val="18"/>
          <w:szCs w:val="18"/>
        </w:rPr>
        <w:t>℃）的实验</w:t>
      </w:r>
    </w:p>
    <w:p>
      <w:pPr>
        <w:spacing w:line="252" w:lineRule="auto"/>
        <w:rPr>
          <w:rFonts w:ascii="方正仿宋_GB2312" w:hAnsi="方正仿宋_GB2312" w:eastAsia="方正仿宋_GB2312" w:cs="方正仿宋_GB2312"/>
          <w:b/>
          <w:color w:val="FF0000"/>
          <w:sz w:val="24"/>
        </w:rPr>
      </w:pPr>
      <w:r>
        <w:rPr>
          <w:rFonts w:hint="eastAsia" w:ascii="方正兰亭准黑_GBK" w:hAnsi="方正兰亭准黑_GBK" w:eastAsia="方正兰亭准黑_GBK" w:cs="方正兰亭准黑_GBK"/>
          <w:b/>
          <w:bCs/>
          <w:color w:val="0000FF"/>
          <w:sz w:val="18"/>
          <w:szCs w:val="18"/>
        </w:rPr>
        <w:t>6.可以快速降温，连续完成不同班级的实验。</w:t>
      </w:r>
    </w:p>
    <w:p>
      <w:pPr>
        <w:rPr>
          <w:rFonts w:hint="eastAsia" w:ascii="宋体" w:hAnsi="宋体" w:cs="宋体"/>
          <w:color w:val="C0504D"/>
        </w:rPr>
      </w:pP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  <w:lang w:val="en-US" w:eastAsia="zh-CN"/>
        </w:rPr>
        <w:t>主要</w:t>
      </w:r>
      <w:r>
        <w:rPr>
          <w:rFonts w:hint="eastAsia" w:ascii="方正兰亭准黑_GBK" w:hAnsi="方正兰亭准黑_GBK" w:eastAsia="方正兰亭准黑_GBK" w:cs="方正兰亭准黑_GBK"/>
          <w:b/>
          <w:bCs/>
          <w:sz w:val="18"/>
          <w:szCs w:val="18"/>
        </w:rPr>
        <w:t>技术参数：</w:t>
      </w:r>
    </w:p>
    <w:p>
      <w:pPr>
        <w:spacing w:line="252" w:lineRule="auto"/>
        <w:rPr>
          <w:rFonts w:hint="default" w:ascii="方正兰亭准黑_GBK" w:hAnsi="方正兰亭准黑_GBK" w:eastAsia="方正兰亭准黑_GBK" w:cs="方正兰亭准黑_GBK"/>
          <w:sz w:val="18"/>
          <w:szCs w:val="18"/>
          <w:lang w:val="en-US" w:eastAsia="zh-CN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1、主体装置：①玻璃管内径40mm，长度300mm；②活塞工作行程200mm，可变体积范围250ml</w:t>
      </w: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eastAsia="zh-CN"/>
        </w:rPr>
        <w:t>；</w:t>
      </w: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  <w:t>半导体片和风扇4组。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2、加热/制冷温度范围：5～120℃。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3、加热/制冷速率：快速模式：＞2℃/分钟，慢速模式：0.5～1℃/分钟。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4、加热/制冷功耗：小于350W，采用24V安全电压对装置进行加热/制冷。</w:t>
      </w:r>
    </w:p>
    <w:p>
      <w:pPr>
        <w:spacing w:line="252" w:lineRule="auto"/>
        <w:rPr>
          <w:rFonts w:hint="default" w:ascii="方正兰亭准黑_GBK" w:hAnsi="方正兰亭准黑_GBK" w:eastAsia="方正兰亭准黑_GBK" w:cs="方正兰亭准黑_GBK"/>
          <w:sz w:val="18"/>
          <w:szCs w:val="18"/>
          <w:lang w:val="en-US" w:eastAsia="zh-CN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</w:rPr>
        <w:t>5、控温精度：采用PID控制算法，控温精度达0.1℃</w:t>
      </w: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eastAsia="zh-CN"/>
        </w:rPr>
        <w:t>，</w:t>
      </w: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  <w:t>PID有快速加热、制冷，超温、超压，过载保护装置。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  <w:t>6、数显压力测量误差：＜0.5%.FS</w:t>
      </w:r>
    </w:p>
    <w:p>
      <w:pPr>
        <w:spacing w:line="252" w:lineRule="auto"/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</w:pPr>
      <w:r>
        <w:rPr>
          <w:rFonts w:hint="eastAsia" w:ascii="方正兰亭准黑_GBK" w:hAnsi="方正兰亭准黑_GBK" w:eastAsia="方正兰亭准黑_GBK" w:cs="方正兰亭准黑_GBK"/>
          <w:sz w:val="18"/>
          <w:szCs w:val="18"/>
          <w:lang w:val="en-US" w:eastAsia="zh-CN"/>
        </w:rPr>
        <w:t>7.实验相对误差小于3%</w:t>
      </w:r>
    </w:p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color w:val="C0504D"/>
        </w:rPr>
      </w:pPr>
      <w:bookmarkStart w:id="0" w:name="_GoBack"/>
      <w:bookmarkEnd w:id="0"/>
    </w:p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color w:val="C0504D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设备型号及配套</w:t>
      </w:r>
    </w:p>
    <w:p>
      <w:pPr>
        <w:rPr>
          <w:rFonts w:ascii="宋体" w:hAnsi="宋体" w:cs="宋体"/>
          <w:b/>
          <w:bCs/>
          <w:color w:val="FF0000"/>
        </w:rPr>
      </w:pPr>
    </w:p>
    <w:p>
      <w:r>
        <w:rPr>
          <w:rFonts w:hint="eastAsia" w:ascii="宋体" w:hAnsi="宋体" w:cs="宋体"/>
          <w:b/>
          <w:bCs/>
          <w:color w:val="C0504D"/>
        </w:rPr>
        <w:t xml:space="preserve">  设备成套性</w:t>
      </w:r>
    </w:p>
    <w:p>
      <w:r>
        <w:rPr>
          <w:rFonts w:hint="eastAsia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  <w:t>实验主体装置、温度仪、压力仪、主机电源、压强传感器。</w:t>
      </w:r>
    </w:p>
    <w:tbl>
      <w:tblPr>
        <w:tblStyle w:val="3"/>
        <w:tblpPr w:leftFromText="180" w:rightFromText="180" w:vertAnchor="text" w:horzAnchor="page" w:tblpX="1490" w:tblpY="301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设备名称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型号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实验室自备配套设备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 xml:space="preserve"> 理想气体状态方程实验仪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WT-PVT-2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电子天平</w:t>
            </w:r>
          </w:p>
        </w:tc>
      </w:tr>
    </w:tbl>
    <w:p>
      <w:pPr>
        <w:rPr>
          <w:rFonts w:hint="eastAsia" w:ascii="黑体" w:hAnsi="黑体" w:eastAsia="黑体" w:cs="宋体"/>
          <w:color w:val="C0504D"/>
        </w:rPr>
      </w:pP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建议课时：3-4课时</w:t>
      </w:r>
    </w:p>
    <w:p>
      <w:pPr>
        <w:rPr>
          <w:rFonts w:ascii="方正仿宋_GB2312" w:hAnsi="方正仿宋_GB2312" w:eastAsia="方正仿宋_GB2312" w:cs="方正仿宋_GB2312"/>
          <w:b/>
          <w:color w:val="FF0000"/>
          <w:sz w:val="24"/>
        </w:rPr>
      </w:pPr>
    </w:p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lang w:val="en-US" w:eastAsia="zh-CN"/>
        </w:rPr>
        <w:t xml:space="preserve"> 四川西测科技有限公司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2018年11月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EC2EF-86FB-4247-9C9F-529C1438C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EE410B-517D-46D2-8490-5F84331580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ADB9B5C-CBE9-4D7C-895C-74833147535E}"/>
  </w:font>
  <w:font w:name="方正兰亭准黑_GBK">
    <w:altName w:val="微软雅黑"/>
    <w:panose1 w:val="02000000000000000000"/>
    <w:charset w:val="86"/>
    <w:family w:val="auto"/>
    <w:pitch w:val="default"/>
    <w:sig w:usb0="00000000" w:usb1="00000000" w:usb2="00082016" w:usb3="00000000" w:csb0="00040000" w:csb1="00000000"/>
    <w:embedRegular r:id="rId4" w:fontKey="{F8446B8F-4D14-4F03-865A-E920ABF42D85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38398774-AA10-46CC-BA8D-C773F7242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E323E"/>
    <w:rsid w:val="625E0583"/>
    <w:rsid w:val="7D7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2019-12-10T03:00:30Z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